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4B1FE6D1" w14:textId="77777777" w:rsidR="00B404DC" w:rsidRDefault="00B404DC" w:rsidP="001C65FE">
      <w:pPr>
        <w:pStyle w:val="Indice"/>
        <w:spacing w:after="0" w:line="240" w:lineRule="auto"/>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E606FE">
              <w:rPr>
                <w:rFonts w:cstheme="minorHAnsi"/>
                <w:sz w:val="20"/>
                <w:szCs w:val="20"/>
              </w:rPr>
            </w:r>
            <w:r w:rsidR="00E606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E606FE">
              <w:rPr>
                <w:rFonts w:asciiTheme="minorHAnsi" w:hAnsiTheme="minorHAnsi" w:cstheme="minorHAnsi"/>
                <w:sz w:val="20"/>
              </w:rPr>
            </w:r>
            <w:r w:rsidR="00E606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276A23D" w14:textId="77777777" w:rsidR="0070195A" w:rsidRDefault="0070195A" w:rsidP="00BA7A0A">
      <w:pPr>
        <w:pStyle w:val="Indice"/>
        <w:spacing w:after="0" w:line="240" w:lineRule="auto"/>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lastRenderedPageBreak/>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50EBAA85" w14:textId="68EF226F" w:rsidR="006C46EE" w:rsidRPr="00C16AAC" w:rsidRDefault="006C46EE" w:rsidP="00425973">
      <w:pPr>
        <w:jc w:val="both"/>
        <w:rPr>
          <w:rFonts w:cstheme="minorHAnsi"/>
          <w:caps/>
          <w:sz w:val="20"/>
          <w:szCs w:val="20"/>
        </w:rPr>
      </w:pPr>
      <w:r w:rsidRPr="00C16AAC">
        <w:rPr>
          <w:rFonts w:cstheme="minorHAnsi"/>
          <w:caps/>
          <w:sz w:val="20"/>
          <w:szCs w:val="20"/>
        </w:rPr>
        <w:t xml:space="preserve">GARA A </w:t>
      </w:r>
      <w:r w:rsidR="00AD0799" w:rsidRPr="00AD0799">
        <w:rPr>
          <w:rFonts w:cstheme="minorHAnsi"/>
          <w:caps/>
          <w:sz w:val="20"/>
          <w:szCs w:val="20"/>
        </w:rPr>
        <w:t>PROCEDURA APERTA SOPRA SOGLIA COMUNITARIA AI SENSI DELL’ART. 71 DEL D. LGS. N. 36/2023, PER L’AFFIDAMENTO DELLA FORNITURA DI: 1) GENERATORE DI SEGNALI OTTICI CHE SIMULANO ECHI LIDAR A DIVERSE LUNGHEZZE D'ONDA; 2) GASCROMATOGRAFO (GC) CON INIETTORE SPLIT SPLITLESS (SSL) ED INIETTORE CON VAPORIZZAZIONE A TEMPERATURA PROGRAMMABILE (PTV) E SPETTROMETRO DI MASSA (MS); 3) SISTEMA ON-LINE PER MISURE AD ALTA RISOLUZIONE TEMPORALE DI METALLI NEL PARTICOLATO ATMOSFERICO (PM); 4) ION CHROMATOGRAPHY SYSTEM FOR PARTICLE IN SITU TYPING AND CHARACTERIZATION; 5) SISTEMA PER IL MONITORAGGIO IN REAL-TIME DI BIOAEROSOL BASATO SU MISURE OTTICHE; 6) RADIOMETRO A MICROONDE MULTICANALE - SUDDIVISA IN 6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w:t>
      </w:r>
      <w:r w:rsidRPr="00C16AAC">
        <w:rPr>
          <w:rFonts w:cstheme="minorHAnsi"/>
          <w:caps/>
          <w:sz w:val="20"/>
          <w:szCs w:val="20"/>
        </w:rPr>
        <w:t xml:space="preserve"> </w:t>
      </w:r>
      <w:r w:rsidR="00425973" w:rsidRPr="00425973">
        <w:rPr>
          <w:rFonts w:cstheme="minorHAnsi"/>
          <w:caps/>
          <w:sz w:val="20"/>
          <w:szCs w:val="20"/>
        </w:rPr>
        <w:t>LOTTO 1 CIG B2554D1A71</w:t>
      </w:r>
      <w:r w:rsidR="00425973">
        <w:rPr>
          <w:rFonts w:cstheme="minorHAnsi"/>
          <w:caps/>
          <w:sz w:val="20"/>
          <w:szCs w:val="20"/>
        </w:rPr>
        <w:t xml:space="preserve">- </w:t>
      </w:r>
      <w:r w:rsidR="00425973" w:rsidRPr="00425973">
        <w:rPr>
          <w:rFonts w:cstheme="minorHAnsi"/>
          <w:caps/>
          <w:sz w:val="20"/>
          <w:szCs w:val="20"/>
        </w:rPr>
        <w:t>LOTTO 2 CIG B2554D2B44</w:t>
      </w:r>
      <w:r w:rsidR="00425973">
        <w:rPr>
          <w:rFonts w:cstheme="minorHAnsi"/>
          <w:caps/>
          <w:sz w:val="20"/>
          <w:szCs w:val="20"/>
        </w:rPr>
        <w:t xml:space="preserve"> -</w:t>
      </w:r>
      <w:r w:rsidR="00425973" w:rsidRPr="00425973">
        <w:rPr>
          <w:rFonts w:cstheme="minorHAnsi"/>
          <w:caps/>
          <w:sz w:val="20"/>
          <w:szCs w:val="20"/>
        </w:rPr>
        <w:t>LOTTO 3 CIG B2554D3C17</w:t>
      </w:r>
      <w:r w:rsidR="00425973">
        <w:rPr>
          <w:rFonts w:cstheme="minorHAnsi"/>
          <w:caps/>
          <w:sz w:val="20"/>
          <w:szCs w:val="20"/>
        </w:rPr>
        <w:t xml:space="preserve"> - </w:t>
      </w:r>
      <w:r w:rsidR="00425973" w:rsidRPr="00425973">
        <w:rPr>
          <w:rFonts w:cstheme="minorHAnsi"/>
          <w:caps/>
          <w:sz w:val="20"/>
          <w:szCs w:val="20"/>
        </w:rPr>
        <w:t xml:space="preserve">LOTTO 4 CIG B2554D4CEA </w:t>
      </w:r>
      <w:r w:rsidR="00425973">
        <w:rPr>
          <w:rFonts w:cstheme="minorHAnsi"/>
          <w:caps/>
          <w:sz w:val="20"/>
          <w:szCs w:val="20"/>
        </w:rPr>
        <w:t xml:space="preserve">- </w:t>
      </w:r>
      <w:r w:rsidR="00425973" w:rsidRPr="00425973">
        <w:rPr>
          <w:rFonts w:cstheme="minorHAnsi"/>
          <w:caps/>
          <w:sz w:val="20"/>
          <w:szCs w:val="20"/>
        </w:rPr>
        <w:t>LOTTO 5 CIG B2554D5DBD</w:t>
      </w:r>
      <w:r w:rsidR="00425973">
        <w:rPr>
          <w:rFonts w:cstheme="minorHAnsi"/>
          <w:caps/>
          <w:sz w:val="20"/>
          <w:szCs w:val="20"/>
        </w:rPr>
        <w:t xml:space="preserve"> -</w:t>
      </w:r>
      <w:r w:rsidR="00425973" w:rsidRPr="00425973">
        <w:rPr>
          <w:rFonts w:cstheme="minorHAnsi"/>
          <w:caps/>
          <w:sz w:val="20"/>
          <w:szCs w:val="20"/>
        </w:rPr>
        <w:t>LOTTO 6 CIG B2554D6E90</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7A503CD8" w14:textId="374BBD57" w:rsidR="00FB1F47" w:rsidRPr="001B04BB" w:rsidRDefault="002907A0" w:rsidP="001B04BB">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DICHIARA 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6DE498F9"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r w:rsidR="005B2653" w:rsidRPr="00E91A34">
        <w:rPr>
          <w:rFonts w:cstheme="minorHAnsi"/>
          <w:sz w:val="20"/>
        </w:rPr>
        <w:t>Consiglio di amministrazione</w:t>
      </w:r>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E606FE">
        <w:rPr>
          <w:rFonts w:cstheme="minorHAnsi"/>
          <w:sz w:val="14"/>
        </w:rPr>
      </w:r>
      <w:r w:rsidR="00E606FE">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632" w:type="pct"/>
        <w:jc w:val="center"/>
        <w:tblLook w:val="04A0" w:firstRow="1" w:lastRow="0" w:firstColumn="1" w:lastColumn="0" w:noHBand="0" w:noVBand="1"/>
      </w:tblPr>
      <w:tblGrid>
        <w:gridCol w:w="1702"/>
        <w:gridCol w:w="1985"/>
        <w:gridCol w:w="2551"/>
        <w:gridCol w:w="2550"/>
      </w:tblGrid>
      <w:tr w:rsidR="009610FD" w:rsidRPr="00EE26AE" w14:paraId="6FDCF6D6" w14:textId="77777777" w:rsidTr="00033A17">
        <w:trPr>
          <w:trHeight w:val="576"/>
          <w:jc w:val="center"/>
        </w:trPr>
        <w:tc>
          <w:tcPr>
            <w:tcW w:w="968"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29"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45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451"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033A17">
        <w:trPr>
          <w:jc w:val="center"/>
        </w:trPr>
        <w:tc>
          <w:tcPr>
            <w:tcW w:w="968"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29"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45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451"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033A17">
        <w:trPr>
          <w:jc w:val="center"/>
        </w:trPr>
        <w:tc>
          <w:tcPr>
            <w:tcW w:w="968"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29"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45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451"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E606FE">
        <w:rPr>
          <w:rFonts w:cstheme="minorHAnsi"/>
          <w:sz w:val="14"/>
        </w:rPr>
      </w:r>
      <w:r w:rsidR="00E606F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E606FE">
        <w:rPr>
          <w:rFonts w:cstheme="minorHAnsi"/>
          <w:sz w:val="14"/>
        </w:rPr>
      </w:r>
      <w:r w:rsidR="00E606F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6F62709F"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lastRenderedPageBreak/>
        <w:t xml:space="preserve">(In caso di RTI o consorzio </w:t>
      </w:r>
      <w:r w:rsidR="005B2653" w:rsidRPr="00EE26AE">
        <w:rPr>
          <w:rFonts w:cstheme="minorHAnsi"/>
          <w:b/>
          <w:i/>
          <w:caps/>
          <w:sz w:val="20"/>
          <w:szCs w:val="20"/>
        </w:rPr>
        <w:t>ORDINARIO) *</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w:t>
      </w:r>
      <w:r w:rsidRPr="0070195A">
        <w:rPr>
          <w:rFonts w:ascii="Titillium" w:eastAsia="Times New Roman" w:hAnsi="Titillium" w:cs="Times New Roman"/>
          <w:bCs/>
          <w:i/>
          <w:sz w:val="20"/>
          <w:szCs w:val="20"/>
        </w:rPr>
        <w:lastRenderedPageBreak/>
        <w:t xml:space="preserve">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E606FE">
        <w:rPr>
          <w:rFonts w:cstheme="minorHAnsi"/>
          <w:sz w:val="14"/>
        </w:rPr>
      </w:r>
      <w:r w:rsidR="00E606FE">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E606FE">
        <w:rPr>
          <w:rFonts w:ascii="Titillium" w:hAnsi="Titillium"/>
          <w:sz w:val="20"/>
        </w:rPr>
      </w:r>
      <w:r w:rsidR="00E606FE">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E606FE">
        <w:rPr>
          <w:rFonts w:ascii="Titillium" w:hAnsi="Titillium"/>
          <w:sz w:val="20"/>
        </w:rPr>
      </w:r>
      <w:r w:rsidR="00E606FE">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cleaning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lastRenderedPageBreak/>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lastRenderedPageBreak/>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lastRenderedPageBreak/>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F70916" w:rsidRPr="009F1F0C">
        <w:rPr>
          <w:iCs/>
          <w:sz w:val="20"/>
          <w:szCs w:val="20"/>
        </w:rPr>
        <w:t>…</w:t>
      </w:r>
      <w:r w:rsidR="004B1374" w:rsidRPr="009F1F0C">
        <w:rPr>
          <w:iCs/>
          <w:sz w:val="20"/>
          <w:szCs w:val="20"/>
        </w:rPr>
        <w:t>_________</w:t>
      </w:r>
      <w:r w:rsidRPr="009F1F0C">
        <w:rPr>
          <w:iCs/>
          <w:sz w:val="20"/>
          <w:szCs w:val="20"/>
        </w:rPr>
        <w:t xml:space="preserve"> o la seguente PEC del garante</w:t>
      </w:r>
      <w:r w:rsidR="00F70916" w:rsidRPr="009F1F0C">
        <w:rPr>
          <w:iCs/>
          <w:sz w:val="20"/>
          <w:szCs w:val="20"/>
        </w:rPr>
        <w:t xml:space="preserve"> …</w:t>
      </w:r>
      <w:r w:rsidR="004B1374" w:rsidRPr="009F1F0C">
        <w:rPr>
          <w:iCs/>
          <w:sz w:val="20"/>
          <w:szCs w:val="20"/>
        </w:rPr>
        <w:t>_____________</w:t>
      </w:r>
      <w:r w:rsidRPr="009F1F0C">
        <w:rPr>
          <w:iCs/>
          <w:sz w:val="20"/>
          <w:szCs w:val="20"/>
        </w:rPr>
        <w:t>, al</w:t>
      </w:r>
      <w:r w:rsidRPr="00F70916">
        <w:rPr>
          <w:iCs/>
          <w:sz w:val="20"/>
          <w:szCs w:val="20"/>
        </w:rPr>
        <w:t xml:space="preserve">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lastRenderedPageBreak/>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48A697E" w:rsidR="00C41162" w:rsidRPr="00B404DC" w:rsidRDefault="0003190D" w:rsidP="00206E7E">
      <w:pPr>
        <w:pStyle w:val="Paragrafoelenco"/>
        <w:numPr>
          <w:ilvl w:val="0"/>
          <w:numId w:val="11"/>
        </w:numPr>
        <w:spacing w:after="0" w:line="240" w:lineRule="auto"/>
        <w:ind w:left="284" w:hanging="284"/>
        <w:jc w:val="both"/>
        <w:rPr>
          <w:sz w:val="20"/>
          <w:szCs w:val="20"/>
        </w:rPr>
      </w:pPr>
      <w:r w:rsidRPr="009F1F0C">
        <w:rPr>
          <w:sz w:val="20"/>
          <w:szCs w:val="20"/>
        </w:rPr>
        <w:t>G</w:t>
      </w:r>
      <w:r w:rsidR="00184306" w:rsidRPr="009F1F0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lastRenderedPageBreak/>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6FB1E69" w14:textId="5481F3D6"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roofErr w:type="gramStart"/>
      <w:r w:rsidR="009E1D2D" w:rsidRPr="00533DE4">
        <w:rPr>
          <w:bCs/>
          <w:sz w:val="20"/>
          <w:szCs w:val="20"/>
        </w:rPr>
        <w:t>”</w:t>
      </w:r>
      <w:r w:rsidR="00121856" w:rsidRPr="00121856">
        <w:rPr>
          <w:rFonts w:cstheme="minorHAnsi"/>
          <w:bCs/>
          <w:sz w:val="20"/>
          <w:szCs w:val="20"/>
        </w:rPr>
        <w:t xml:space="preserve"> </w:t>
      </w:r>
      <w:r w:rsidR="00121856" w:rsidRPr="002A0264">
        <w:rPr>
          <w:rFonts w:cstheme="minorHAnsi"/>
          <w:bCs/>
          <w:sz w:val="20"/>
          <w:szCs w:val="20"/>
        </w:rPr>
        <w:t>)</w:t>
      </w:r>
      <w:proofErr w:type="gramEnd"/>
      <w:r w:rsidR="00121856" w:rsidRPr="002A0264">
        <w:rPr>
          <w:rFonts w:cstheme="minorHAnsi"/>
          <w:bCs/>
          <w:sz w:val="20"/>
          <w:szCs w:val="20"/>
        </w:rPr>
        <w:t>”</w:t>
      </w:r>
      <w:r w:rsidR="00121856" w:rsidRPr="002A0264">
        <w:rPr>
          <w:rFonts w:cstheme="minorHAnsi"/>
          <w:sz w:val="20"/>
          <w:szCs w:val="20"/>
        </w:rPr>
        <w:t xml:space="preserve"> e della Circolare MEF n. 22 in data 14.05.2024 “Aggiornamento Guida operativa per il rispetto del principio di non arrecare danno significativo all'ambiente (cd. DNSH)</w:t>
      </w:r>
      <w:r w:rsidR="009E1D2D" w:rsidRPr="00533DE4">
        <w:rPr>
          <w:bCs/>
          <w:sz w:val="20"/>
          <w:szCs w:val="20"/>
        </w:rPr>
        <w:t>;</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lastRenderedPageBreak/>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E606FE">
        <w:rPr>
          <w:rFonts w:ascii="Titillium" w:hAnsi="Titillium"/>
          <w:sz w:val="14"/>
        </w:rPr>
      </w:r>
      <w:r w:rsidR="00E606F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xml:space="preserve">…………………………………………………………………………………………………………………...……………………………………………………………………………………………………, il/i titolare/i effettivo/i è/sono da individuarsi nella/e persona/e fisica/che </w:t>
      </w:r>
      <w:r w:rsidRPr="00AD2BBA">
        <w:rPr>
          <w:bCs/>
          <w:sz w:val="20"/>
          <w:szCs w:val="20"/>
        </w:rPr>
        <w:lastRenderedPageBreak/>
        <w:t>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09C81463" w14:textId="02EAB09B" w:rsidR="00C77279" w:rsidRDefault="006D3206" w:rsidP="006F336E">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sidR="006F336E">
        <w:rPr>
          <w:bCs/>
          <w:sz w:val="20"/>
          <w:szCs w:val="20"/>
        </w:rPr>
        <w:t>.</w:t>
      </w:r>
    </w:p>
    <w:p w14:paraId="61BCBA7D" w14:textId="77777777" w:rsidR="006F336E" w:rsidRPr="006F336E" w:rsidRDefault="006F336E"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lastRenderedPageBreak/>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w:t>
      </w:r>
      <w:r w:rsidRPr="00E606FE">
        <w:rPr>
          <w:rFonts w:cstheme="minorHAnsi"/>
          <w:i/>
          <w:iCs/>
          <w:sz w:val="20"/>
          <w:szCs w:val="20"/>
        </w:rPr>
        <w:t>il paragrafo 2.3 o</w:t>
      </w:r>
      <w:r w:rsidRPr="00C77279">
        <w:rPr>
          <w:rFonts w:cstheme="minorHAnsi"/>
          <w:i/>
          <w:iCs/>
          <w:sz w:val="20"/>
          <w:szCs w:val="20"/>
        </w:rPr>
        <w:t xml:space="preserve">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239039D0"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r w:rsidR="00E1214A" w:rsidRPr="00C77279">
        <w:rPr>
          <w:rFonts w:cstheme="minorHAnsi"/>
          <w:bCs/>
          <w:sz w:val="20"/>
        </w:rPr>
        <w:t>dell’art.</w:t>
      </w:r>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55672A6A"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E55ECF">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5167960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lastRenderedPageBreak/>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14:paraId="392403CB" w14:textId="454E9DF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006F336E">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46FB87E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E55ECF">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9"/>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10"/>
      </w:r>
      <w:bookmarkEnd w:id="1"/>
    </w:p>
    <w:p w14:paraId="08780BAA" w14:textId="77777777" w:rsidR="00CB6A02" w:rsidRPr="00C77279" w:rsidRDefault="00CB6A02" w:rsidP="00E55ECF">
      <w:pPr>
        <w:jc w:val="right"/>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D7220">
      <w:headerReference w:type="default" r:id="rId8"/>
      <w:footerReference w:type="default" r:id="rId9"/>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6A581" w14:textId="77777777" w:rsidR="005A1CA5" w:rsidRDefault="005A1CA5">
      <w:pPr>
        <w:spacing w:after="0" w:line="240" w:lineRule="auto"/>
      </w:pPr>
      <w:r>
        <w:separator/>
      </w:r>
    </w:p>
  </w:endnote>
  <w:endnote w:type="continuationSeparator" w:id="0">
    <w:p w14:paraId="2193C470" w14:textId="77777777" w:rsidR="005A1CA5" w:rsidRDefault="005A1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AB536" w14:textId="10DF045A" w:rsidR="00936A1C" w:rsidRDefault="00856B9A">
    <w:r w:rsidRPr="00E16501">
      <w:rPr>
        <w:rFonts w:ascii="Times New Roman" w:eastAsia="Calibri" w:hAnsi="Times New Roman" w:cs="Times New Roman"/>
        <w:noProof/>
        <w:sz w:val="20"/>
        <w:szCs w:val="16"/>
        <w:lang w:eastAsia="it-IT"/>
      </w:rPr>
      <w:drawing>
        <wp:inline distT="0" distB="0" distL="0" distR="0" wp14:anchorId="3E2E560D" wp14:editId="09B84FB8">
          <wp:extent cx="6029960" cy="653089"/>
          <wp:effectExtent l="0" t="0" r="0" b="0"/>
          <wp:docPr id="4323055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960" cy="653089"/>
                  </a:xfrm>
                  <a:prstGeom prst="rect">
                    <a:avLst/>
                  </a:prstGeom>
                  <a:noFill/>
                  <a:ln>
                    <a:noFill/>
                  </a:ln>
                </pic:spPr>
              </pic:pic>
            </a:graphicData>
          </a:graphic>
        </wp:inline>
      </w:drawing>
    </w:r>
  </w:p>
  <w:tbl>
    <w:tblPr>
      <w:tblW w:w="6257" w:type="pct"/>
      <w:tblInd w:w="-12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550"/>
      <w:gridCol w:w="3308"/>
    </w:tblGrid>
    <w:tr w:rsidR="00936A1C" w:rsidRPr="00C874FF" w14:paraId="1E070E3C" w14:textId="77777777" w:rsidTr="00FB4D63">
      <w:trPr>
        <w:cantSplit/>
        <w:trHeight w:val="688"/>
      </w:trPr>
      <w:tc>
        <w:tcPr>
          <w:tcW w:w="3605" w:type="pct"/>
          <w:tcBorders>
            <w:right w:val="nil"/>
          </w:tcBorders>
          <w:shd w:val="clear" w:color="auto" w:fill="2A65B0"/>
          <w:tcMar>
            <w:left w:w="567" w:type="dxa"/>
            <w:right w:w="340" w:type="dxa"/>
          </w:tcMar>
          <w:vAlign w:val="center"/>
        </w:tcPr>
        <w:p w14:paraId="205E7A82" w14:textId="77777777" w:rsidR="00936A1C" w:rsidRPr="00C874FF" w:rsidRDefault="00936A1C" w:rsidP="00936A1C">
          <w:pPr>
            <w:suppressAutoHyphens w:val="0"/>
            <w:spacing w:after="0" w:line="240" w:lineRule="auto"/>
            <w:rPr>
              <w:rFonts w:ascii="Titillium Web" w:eastAsia="Calibri" w:hAnsi="Titillium Web" w:cs="Times New Roman"/>
              <w:color w:val="FFFFFF"/>
              <w:sz w:val="16"/>
              <w:szCs w:val="16"/>
              <w:lang w:val="en-US" w:eastAsia="it-IT"/>
            </w:rPr>
          </w:pPr>
          <w:r w:rsidRPr="00C874FF">
            <w:rPr>
              <w:rFonts w:ascii="Titillium Web" w:eastAsia="Calibri" w:hAnsi="Titillium Web" w:cs="Times New Roman"/>
              <w:color w:val="FFFFFF"/>
              <w:sz w:val="16"/>
              <w:szCs w:val="16"/>
              <w:lang w:val="en-US" w:eastAsia="it-IT"/>
            </w:rPr>
            <w:t>IR0000032 – ITINERIS Italian Integrated Environmental Research Infrastructures System - CUP B53C22002150006</w:t>
          </w:r>
        </w:p>
        <w:p w14:paraId="638E9215" w14:textId="77777777" w:rsidR="00936A1C" w:rsidRPr="00C874FF" w:rsidRDefault="00936A1C" w:rsidP="00936A1C">
          <w:pPr>
            <w:suppressAutoHyphens w:val="0"/>
            <w:spacing w:after="0" w:line="240" w:lineRule="auto"/>
            <w:rPr>
              <w:rFonts w:ascii="Titillium Web" w:eastAsia="Calibri" w:hAnsi="Titillium Web" w:cs="Times New Roman"/>
              <w:color w:val="FFFFFF"/>
              <w:sz w:val="16"/>
              <w:szCs w:val="16"/>
              <w:lang w:eastAsia="it-IT"/>
            </w:rPr>
          </w:pPr>
          <w:r w:rsidRPr="00C874FF">
            <w:rPr>
              <w:rFonts w:ascii="Titillium Web" w:eastAsia="Calibri" w:hAnsi="Titillium Web" w:cs="Times New Roman"/>
              <w:color w:val="FFFFFF"/>
              <w:sz w:val="16"/>
              <w:szCs w:val="16"/>
              <w:lang w:eastAsia="it-IT"/>
            </w:rPr>
            <w:t xml:space="preserve">Missione 4, “Istruzione e ricerca” - Componente 2, “Dalla ricerca all’impresa” </w:t>
          </w:r>
        </w:p>
        <w:p w14:paraId="6F872D0E" w14:textId="77777777" w:rsidR="00936A1C" w:rsidRPr="00C874FF" w:rsidRDefault="00936A1C" w:rsidP="00936A1C">
          <w:pPr>
            <w:suppressAutoHyphens w:val="0"/>
            <w:spacing w:after="0" w:line="240" w:lineRule="auto"/>
            <w:rPr>
              <w:rFonts w:ascii="Titillium Web" w:eastAsia="Calibri" w:hAnsi="Titillium Web" w:cs="Times New Roman"/>
              <w:color w:val="FFFFFF"/>
              <w:sz w:val="16"/>
              <w:szCs w:val="16"/>
              <w:lang w:eastAsia="it-IT"/>
            </w:rPr>
          </w:pPr>
          <w:r w:rsidRPr="00C874FF">
            <w:rPr>
              <w:rFonts w:ascii="Titillium Web" w:eastAsia="Calibri" w:hAnsi="Titillium Web" w:cs="Times New Roman"/>
              <w:color w:val="FFFFFF"/>
              <w:sz w:val="16"/>
              <w:szCs w:val="16"/>
              <w:lang w:eastAsia="it-IT"/>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FD874D6" w14:textId="77777777" w:rsidR="00936A1C" w:rsidRPr="00C874FF" w:rsidRDefault="00936A1C" w:rsidP="00936A1C">
          <w:pPr>
            <w:suppressAutoHyphens w:val="0"/>
            <w:autoSpaceDE w:val="0"/>
            <w:autoSpaceDN w:val="0"/>
            <w:adjustRightInd w:val="0"/>
            <w:spacing w:after="0" w:line="240" w:lineRule="auto"/>
            <w:jc w:val="center"/>
            <w:rPr>
              <w:rFonts w:ascii="Titillium Web" w:eastAsia="Calibri" w:hAnsi="Titillium Web" w:cs="BkwnxrHelveticaLTCom"/>
              <w:bCs/>
              <w:i/>
              <w:color w:val="FFFF00"/>
              <w:sz w:val="16"/>
              <w:szCs w:val="16"/>
            </w:rPr>
          </w:pPr>
          <w:r w:rsidRPr="00C874FF">
            <w:rPr>
              <w:rFonts w:ascii="Titillium Web" w:eastAsia="Calibri" w:hAnsi="Titillium Web" w:cs="BkwnxrHelveticaLTCom"/>
              <w:b/>
              <w:bCs/>
              <w:noProof/>
              <w:color w:val="FFFFFF"/>
              <w:sz w:val="28"/>
              <w:szCs w:val="28"/>
              <w:lang w:val="en-US"/>
            </w:rPr>
            <w:drawing>
              <wp:anchor distT="0" distB="0" distL="114300" distR="114300" simplePos="0" relativeHeight="251663360" behindDoc="0" locked="0" layoutInCell="1" allowOverlap="1" wp14:anchorId="0FB9DB22" wp14:editId="681857D4">
                <wp:simplePos x="0" y="0"/>
                <wp:positionH relativeFrom="margin">
                  <wp:posOffset>40640</wp:posOffset>
                </wp:positionH>
                <wp:positionV relativeFrom="margin">
                  <wp:posOffset>196850</wp:posOffset>
                </wp:positionV>
                <wp:extent cx="1336040" cy="258445"/>
                <wp:effectExtent l="0" t="0" r="0" b="0"/>
                <wp:wrapNone/>
                <wp:docPr id="33" name="Immagine 33"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DD1DA1" w14:textId="77777777" w:rsidR="00AD5D23" w:rsidRDefault="00AD5D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9DF56" w14:textId="77777777" w:rsidR="005A1CA5" w:rsidRDefault="005A1CA5">
      <w:pPr>
        <w:rPr>
          <w:sz w:val="12"/>
        </w:rPr>
      </w:pPr>
      <w:r>
        <w:separator/>
      </w:r>
    </w:p>
  </w:footnote>
  <w:footnote w:type="continuationSeparator" w:id="0">
    <w:p w14:paraId="068C1DCA" w14:textId="77777777" w:rsidR="005A1CA5" w:rsidRDefault="005A1CA5">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proofErr w:type="gramStart"/>
      <w:r>
        <w:rPr>
          <w:rFonts w:cstheme="minorHAnsi"/>
          <w:sz w:val="16"/>
          <w:szCs w:val="16"/>
          <w:vertAlign w:val="superscript"/>
        </w:rPr>
        <w:t xml:space="preserve">10  </w:t>
      </w:r>
      <w:r w:rsidRPr="00516C28">
        <w:rPr>
          <w:rFonts w:cstheme="minorHAnsi"/>
          <w:sz w:val="16"/>
          <w:szCs w:val="16"/>
        </w:rPr>
        <w:t>del</w:t>
      </w:r>
      <w:proofErr w:type="gramEnd"/>
      <w:r w:rsidRPr="00516C28">
        <w:rPr>
          <w:rFonts w:cstheme="minorHAnsi"/>
          <w:sz w:val="16"/>
          <w:szCs w:val="16"/>
        </w:rPr>
        <w:t xml:space="preserve">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p w14:paraId="6D22A637" w14:textId="1C6306CC" w:rsidR="00AD5D23" w:rsidRDefault="00B11928">
    <w:pPr>
      <w:pStyle w:val="Intestazione"/>
    </w:pPr>
    <w:r w:rsidRPr="001B147D">
      <w:rPr>
        <w:rFonts w:ascii="Calibri" w:eastAsia="Calibri" w:hAnsi="Calibri" w:cs="Times New Roman"/>
        <w:noProof/>
        <w:sz w:val="20"/>
        <w:szCs w:val="16"/>
        <w:lang w:eastAsia="it-IT"/>
      </w:rPr>
      <w:drawing>
        <wp:anchor distT="0" distB="0" distL="114300" distR="114300" simplePos="0" relativeHeight="251661312" behindDoc="1" locked="0" layoutInCell="1" allowOverlap="1" wp14:anchorId="53DE558F" wp14:editId="1E0889B1">
          <wp:simplePos x="0" y="0"/>
          <wp:positionH relativeFrom="margin">
            <wp:align>left</wp:align>
          </wp:positionH>
          <wp:positionV relativeFrom="paragraph">
            <wp:posOffset>10160</wp:posOffset>
          </wp:positionV>
          <wp:extent cx="6105600" cy="619200"/>
          <wp:effectExtent l="0" t="0" r="0" b="9525"/>
          <wp:wrapNone/>
          <wp:docPr id="36871115"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93D6905" w14:textId="48EBE2A7" w:rsidR="00B11928" w:rsidRDefault="00B11928">
    <w:pPr>
      <w:pStyle w:val="Intestazione"/>
    </w:pPr>
  </w:p>
  <w:p w14:paraId="6F9226D8" w14:textId="77777777" w:rsidR="00B11928" w:rsidRDefault="00B11928">
    <w:pPr>
      <w:pStyle w:val="Intestazione"/>
    </w:pPr>
  </w:p>
  <w:p w14:paraId="36BF0476" w14:textId="77777777" w:rsidR="00AD5D23" w:rsidRDefault="00AD5D2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33A17"/>
    <w:rsid w:val="00041D9C"/>
    <w:rsid w:val="000454E6"/>
    <w:rsid w:val="00051D8E"/>
    <w:rsid w:val="00055DC4"/>
    <w:rsid w:val="00060133"/>
    <w:rsid w:val="000607A0"/>
    <w:rsid w:val="000805C3"/>
    <w:rsid w:val="00081D47"/>
    <w:rsid w:val="00084CC3"/>
    <w:rsid w:val="000B16C0"/>
    <w:rsid w:val="000B772C"/>
    <w:rsid w:val="000D0F7C"/>
    <w:rsid w:val="000E5869"/>
    <w:rsid w:val="00121819"/>
    <w:rsid w:val="00121856"/>
    <w:rsid w:val="00141B8D"/>
    <w:rsid w:val="001610C6"/>
    <w:rsid w:val="0017730C"/>
    <w:rsid w:val="00184306"/>
    <w:rsid w:val="001A5430"/>
    <w:rsid w:val="001B04BB"/>
    <w:rsid w:val="001B6DD9"/>
    <w:rsid w:val="001C65FE"/>
    <w:rsid w:val="001C746F"/>
    <w:rsid w:val="001D24C1"/>
    <w:rsid w:val="001D507E"/>
    <w:rsid w:val="00200F9B"/>
    <w:rsid w:val="00206E7E"/>
    <w:rsid w:val="00214250"/>
    <w:rsid w:val="00220748"/>
    <w:rsid w:val="00263663"/>
    <w:rsid w:val="00275DC2"/>
    <w:rsid w:val="00284FD2"/>
    <w:rsid w:val="002907A0"/>
    <w:rsid w:val="002A377A"/>
    <w:rsid w:val="002C3984"/>
    <w:rsid w:val="002D5066"/>
    <w:rsid w:val="00312F22"/>
    <w:rsid w:val="0031727F"/>
    <w:rsid w:val="00345201"/>
    <w:rsid w:val="00361029"/>
    <w:rsid w:val="00377134"/>
    <w:rsid w:val="00377510"/>
    <w:rsid w:val="003A3421"/>
    <w:rsid w:val="003B3811"/>
    <w:rsid w:val="003B7B22"/>
    <w:rsid w:val="003E1AB6"/>
    <w:rsid w:val="003E37AF"/>
    <w:rsid w:val="00400828"/>
    <w:rsid w:val="00404E7C"/>
    <w:rsid w:val="00425973"/>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A1CA5"/>
    <w:rsid w:val="005B0AF1"/>
    <w:rsid w:val="005B2653"/>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C46EE"/>
    <w:rsid w:val="006D26E2"/>
    <w:rsid w:val="006D3206"/>
    <w:rsid w:val="006F120A"/>
    <w:rsid w:val="006F23D2"/>
    <w:rsid w:val="006F336E"/>
    <w:rsid w:val="006F52CD"/>
    <w:rsid w:val="0070195A"/>
    <w:rsid w:val="00703529"/>
    <w:rsid w:val="00717571"/>
    <w:rsid w:val="0072573C"/>
    <w:rsid w:val="00752357"/>
    <w:rsid w:val="0075607F"/>
    <w:rsid w:val="00782672"/>
    <w:rsid w:val="007927C8"/>
    <w:rsid w:val="007E21FF"/>
    <w:rsid w:val="007F739A"/>
    <w:rsid w:val="008113CC"/>
    <w:rsid w:val="008339CB"/>
    <w:rsid w:val="0083449C"/>
    <w:rsid w:val="00843431"/>
    <w:rsid w:val="008559F6"/>
    <w:rsid w:val="00856B9A"/>
    <w:rsid w:val="0085716F"/>
    <w:rsid w:val="008B1DEA"/>
    <w:rsid w:val="008B3B8C"/>
    <w:rsid w:val="00907E63"/>
    <w:rsid w:val="00916DD7"/>
    <w:rsid w:val="009318C6"/>
    <w:rsid w:val="00936A1C"/>
    <w:rsid w:val="00942E88"/>
    <w:rsid w:val="009610FD"/>
    <w:rsid w:val="00982631"/>
    <w:rsid w:val="009A65F9"/>
    <w:rsid w:val="009B1B3B"/>
    <w:rsid w:val="009B5141"/>
    <w:rsid w:val="009D2B7E"/>
    <w:rsid w:val="009D620B"/>
    <w:rsid w:val="009E1D2D"/>
    <w:rsid w:val="009E46B4"/>
    <w:rsid w:val="009F1F0C"/>
    <w:rsid w:val="00A00851"/>
    <w:rsid w:val="00A14570"/>
    <w:rsid w:val="00A16E58"/>
    <w:rsid w:val="00A52C0B"/>
    <w:rsid w:val="00A57640"/>
    <w:rsid w:val="00A718A5"/>
    <w:rsid w:val="00AB0FA5"/>
    <w:rsid w:val="00AD0799"/>
    <w:rsid w:val="00AD2BBA"/>
    <w:rsid w:val="00AD5D23"/>
    <w:rsid w:val="00B11928"/>
    <w:rsid w:val="00B15C1C"/>
    <w:rsid w:val="00B168F4"/>
    <w:rsid w:val="00B404DC"/>
    <w:rsid w:val="00B44004"/>
    <w:rsid w:val="00B5327B"/>
    <w:rsid w:val="00B5701D"/>
    <w:rsid w:val="00B7690A"/>
    <w:rsid w:val="00B81595"/>
    <w:rsid w:val="00B85B36"/>
    <w:rsid w:val="00B973D9"/>
    <w:rsid w:val="00BA7A0A"/>
    <w:rsid w:val="00BF1D89"/>
    <w:rsid w:val="00BF4C0F"/>
    <w:rsid w:val="00C002F1"/>
    <w:rsid w:val="00C208D3"/>
    <w:rsid w:val="00C321BB"/>
    <w:rsid w:val="00C41162"/>
    <w:rsid w:val="00C616E2"/>
    <w:rsid w:val="00C61B2A"/>
    <w:rsid w:val="00C73EF4"/>
    <w:rsid w:val="00C77279"/>
    <w:rsid w:val="00C86BC4"/>
    <w:rsid w:val="00C9670D"/>
    <w:rsid w:val="00CB13FF"/>
    <w:rsid w:val="00CB6A02"/>
    <w:rsid w:val="00CC54C7"/>
    <w:rsid w:val="00D3119D"/>
    <w:rsid w:val="00D328E6"/>
    <w:rsid w:val="00D53063"/>
    <w:rsid w:val="00D565FE"/>
    <w:rsid w:val="00D72C6C"/>
    <w:rsid w:val="00D7397E"/>
    <w:rsid w:val="00D778F8"/>
    <w:rsid w:val="00D8362D"/>
    <w:rsid w:val="00DA6EA3"/>
    <w:rsid w:val="00DD2513"/>
    <w:rsid w:val="00DD701A"/>
    <w:rsid w:val="00DE58CC"/>
    <w:rsid w:val="00DF4EDE"/>
    <w:rsid w:val="00E01457"/>
    <w:rsid w:val="00E1214A"/>
    <w:rsid w:val="00E50ACD"/>
    <w:rsid w:val="00E55ECF"/>
    <w:rsid w:val="00E56B0D"/>
    <w:rsid w:val="00E606FE"/>
    <w:rsid w:val="00E64112"/>
    <w:rsid w:val="00E91A34"/>
    <w:rsid w:val="00EB5F42"/>
    <w:rsid w:val="00EE26AE"/>
    <w:rsid w:val="00F05ACD"/>
    <w:rsid w:val="00F228B7"/>
    <w:rsid w:val="00F2497E"/>
    <w:rsid w:val="00F2561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20</Pages>
  <Words>6154</Words>
  <Characters>35082</Characters>
  <Application>Microsoft Office Word</Application>
  <DocSecurity>0</DocSecurity>
  <Lines>292</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GORGA</cp:lastModifiedBy>
  <cp:revision>31</cp:revision>
  <cp:lastPrinted>2023-12-13T08:59:00Z</cp:lastPrinted>
  <dcterms:created xsi:type="dcterms:W3CDTF">2024-04-30T10:08:00Z</dcterms:created>
  <dcterms:modified xsi:type="dcterms:W3CDTF">2024-07-03T13:45:00Z</dcterms:modified>
  <dc:language>it-IT</dc:language>
</cp:coreProperties>
</file>